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</w:p>
    <w:p>
      <w:pPr>
        <w:jc w:val="center"/>
        <w:rPr>
          <w:b/>
          <w:sz w:val="28"/>
        </w:rPr>
      </w:pPr>
      <w:r>
        <w:rPr>
          <w:b/>
          <w:sz w:val="28"/>
        </w:rPr>
        <w:t>Vezetői utasítás</w:t>
      </w:r>
    </w:p>
    <w:p>
      <w:pPr>
        <w:jc w:val="center"/>
        <w:rPr>
          <w:b/>
          <w:i/>
        </w:rPr>
      </w:pPr>
      <w:r>
        <w:rPr>
          <w:b/>
          <w:i/>
        </w:rPr>
        <w:t>gépek és ber</w:t>
      </w:r>
      <w:r>
        <w:rPr>
          <w:b/>
          <w:i/>
        </w:rPr>
        <w:t>endezések felülvizsgálati rendjéről</w:t>
      </w:r>
    </w:p>
    <w:p>
      <w:pPr>
        <w:jc w:val="both"/>
      </w:pPr>
      <w:r>
        <w:t xml:space="preserve">A </w:t>
      </w:r>
      <w:r>
        <w:t>……………..</w:t>
      </w:r>
      <w:r>
        <w:t xml:space="preserve"> Kft.</w:t>
      </w:r>
      <w:r>
        <w:t xml:space="preserve"> (továbbiakban: Kft.) az alkalmazott emelőgépek felülvizsgálatának végrehajtására vonatkozóan a 47/1999. (VIII. 4.) GM rendelet (Emelőgép Biztonsági Szabályzat kiadásáról) és annak mellékletében leírtakat tekinti irányadónak. </w:t>
      </w:r>
    </w:p>
    <w:p>
      <w:pPr>
        <w:jc w:val="both"/>
      </w:pPr>
      <w:r>
        <w:t xml:space="preserve">A veszélyes gépek tekintetében a 1993. évi XCIII. törvény 21. § (2) bekezdésében előírtak alapján a 5/1993. (XII. 26.) MüM rendelet (a munkavédelemről szóló 1993. évi XCIII. törvény egyes rendelkezéseinek végrehajtásáról) 3. § leírtak és a rendelet 1/a mellékletében felsorolt veszélyes munkaeszközök jegyzékének figyelembe vétele mellett a </w:t>
      </w:r>
      <w:r>
        <w:t>10/2016. (IV. 5.) NGM rendeletben (a munkaeszközök és használatuk biztonsági és egészségügyi követelményeinek minimális szintjéről) előírt időközönként elvégezteti az alábbiak szerint.</w:t>
      </w:r>
    </w:p>
    <w:p>
      <w:pPr>
        <w:jc w:val="both"/>
        <w:rPr>
          <w:i/>
          <w:u w:val="single"/>
        </w:rPr>
      </w:pPr>
      <w:r>
        <w:rPr>
          <w:i/>
          <w:u w:val="single"/>
        </w:rPr>
        <w:t>Emelőgépek felülvizsgálatai:</w:t>
      </w:r>
    </w:p>
    <w:p>
      <w:pPr>
        <w:pStyle w:val="Listaszerbekezds"/>
        <w:numPr>
          <w:ilvl w:val="0"/>
          <w:numId w:val="2"/>
        </w:numPr>
        <w:jc w:val="both"/>
      </w:pPr>
      <w:r>
        <w:t>Üzembe helyezést megelőző munkavédelmi szempontú felülvizsgálat</w:t>
      </w:r>
    </w:p>
    <w:p>
      <w:pPr>
        <w:pStyle w:val="Listaszerbekezds"/>
        <w:numPr>
          <w:ilvl w:val="0"/>
          <w:numId w:val="3"/>
        </w:numPr>
        <w:jc w:val="both"/>
      </w:pPr>
      <w:r>
        <w:t>Az üzembe helyezést megelőzően kell elvégezni és ennek megfelelő minősítése esetén helyezhető üzembe az emelőberendezés</w:t>
      </w:r>
    </w:p>
    <w:p>
      <w:pPr>
        <w:pStyle w:val="Listaszerbekezds"/>
        <w:numPr>
          <w:ilvl w:val="0"/>
          <w:numId w:val="2"/>
        </w:numPr>
        <w:jc w:val="both"/>
      </w:pPr>
      <w:r>
        <w:t>Időszakos vizsgálatok</w:t>
      </w:r>
    </w:p>
    <w:p>
      <w:pPr>
        <w:pStyle w:val="Listaszerbekezds"/>
        <w:numPr>
          <w:ilvl w:val="0"/>
          <w:numId w:val="3"/>
        </w:numPr>
        <w:jc w:val="both"/>
      </w:pPr>
      <w:r>
        <w:t>Ide tartoznak a fő- és szerkezeti vizsgálatok, valamint az időszakos biztonsági felülvizsgálat is.</w:t>
      </w:r>
    </w:p>
    <w:p>
      <w:pPr>
        <w:pStyle w:val="Listaszerbekezds"/>
        <w:numPr>
          <w:ilvl w:val="0"/>
          <w:numId w:val="3"/>
        </w:numPr>
        <w:jc w:val="both"/>
      </w:pPr>
      <w:r>
        <w:t>Az időszakos felülvizsgálatokat minimum 5 évente, vagy az emelőberendezés munkavégzési környezetének megváltozásakor kell elvégezni.</w:t>
      </w:r>
    </w:p>
    <w:p>
      <w:pPr>
        <w:pStyle w:val="Listaszerbekezds"/>
        <w:numPr>
          <w:ilvl w:val="0"/>
          <w:numId w:val="3"/>
        </w:numPr>
        <w:jc w:val="both"/>
      </w:pPr>
      <w:r>
        <w:t>Targoncák esetében a fő- és a szerkezeti vizsgálatot az emelőgép üzemi csoportszáma alapján, az 1. számú táblázatban meghatározott időközönként kell elvégezni.</w:t>
      </w:r>
    </w:p>
    <w:p>
      <w:pPr>
        <w:pStyle w:val="Listaszerbekezds"/>
        <w:numPr>
          <w:ilvl w:val="0"/>
          <w:numId w:val="3"/>
        </w:numPr>
        <w:jc w:val="both"/>
      </w:pPr>
      <w:r>
        <w:t>Az üzemi csoportszám a 2. számú segédtáblázatból kiolvasható, a terhelés és a használati időintervallumok függvényében.</w:t>
      </w:r>
    </w:p>
    <w:p>
      <w:pPr>
        <w:rPr>
          <w:i/>
          <w:u w:val="single"/>
        </w:rPr>
      </w:pPr>
      <w:r>
        <w:rPr>
          <w:i/>
          <w:u w:val="single"/>
        </w:rPr>
        <w:t>1. számú 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>
        <w:tc>
          <w:tcPr>
            <w:tcW w:w="9062" w:type="dxa"/>
            <w:gridSpan w:val="5"/>
          </w:tcPr>
          <w:p>
            <w:pPr>
              <w:jc w:val="center"/>
            </w:pPr>
            <w:r>
              <w:t>Fő- és szerkezeti vizsgálatok időintervallumai</w:t>
            </w:r>
          </w:p>
        </w:tc>
      </w:tr>
      <w:tr>
        <w:tc>
          <w:tcPr>
            <w:tcW w:w="1812" w:type="dxa"/>
            <w:vMerge w:val="restart"/>
          </w:tcPr>
          <w:p>
            <w:r>
              <w:t>Üzemi</w:t>
            </w:r>
          </w:p>
          <w:p>
            <w:r>
              <w:t>csoportszám</w:t>
            </w:r>
          </w:p>
        </w:tc>
        <w:tc>
          <w:tcPr>
            <w:tcW w:w="3624" w:type="dxa"/>
            <w:gridSpan w:val="2"/>
          </w:tcPr>
          <w:p>
            <w:pPr>
              <w:jc w:val="center"/>
            </w:pPr>
            <w:r>
              <w:t>A szerkezeti vizsgálatok időköze</w:t>
            </w:r>
          </w:p>
        </w:tc>
        <w:tc>
          <w:tcPr>
            <w:tcW w:w="3626" w:type="dxa"/>
            <w:gridSpan w:val="2"/>
          </w:tcPr>
          <w:p>
            <w:pPr>
              <w:jc w:val="center"/>
            </w:pPr>
            <w:r>
              <w:t>A fővizsgálatok időköze</w:t>
            </w:r>
          </w:p>
        </w:tc>
      </w:tr>
      <w:tr>
        <w:tc>
          <w:tcPr>
            <w:tcW w:w="1812" w:type="dxa"/>
            <w:vMerge/>
          </w:tcPr>
          <w:p/>
        </w:tc>
        <w:tc>
          <w:tcPr>
            <w:tcW w:w="1812" w:type="dxa"/>
          </w:tcPr>
          <w:p>
            <w:pPr>
              <w:jc w:val="center"/>
            </w:pPr>
            <w:r>
              <w:t>óra</w:t>
            </w:r>
            <w:r>
              <w:rPr>
                <w:rFonts w:cstheme="minorHAnsi"/>
              </w:rPr>
              <w:t>²</w:t>
            </w:r>
          </w:p>
        </w:tc>
        <w:tc>
          <w:tcPr>
            <w:tcW w:w="1812" w:type="dxa"/>
          </w:tcPr>
          <w:p>
            <w:pPr>
              <w:jc w:val="center"/>
            </w:pPr>
            <w:r>
              <w:t>hónap</w:t>
            </w:r>
          </w:p>
        </w:tc>
        <w:tc>
          <w:tcPr>
            <w:tcW w:w="1813" w:type="dxa"/>
          </w:tcPr>
          <w:p>
            <w:pPr>
              <w:jc w:val="center"/>
            </w:pPr>
            <w:r>
              <w:t>óra</w:t>
            </w:r>
            <w:r>
              <w:rPr>
                <w:rFonts w:cstheme="minorHAnsi"/>
              </w:rPr>
              <w:t>²</w:t>
            </w:r>
          </w:p>
        </w:tc>
        <w:tc>
          <w:tcPr>
            <w:tcW w:w="1813" w:type="dxa"/>
          </w:tcPr>
          <w:p>
            <w:pPr>
              <w:jc w:val="center"/>
            </w:pPr>
            <w:r>
              <w:t>hónap</w:t>
            </w:r>
          </w:p>
        </w:tc>
      </w:tr>
      <w:tr>
        <w:tc>
          <w:tcPr>
            <w:tcW w:w="1812" w:type="dxa"/>
          </w:tcPr>
          <w:p>
            <w:r>
              <w:t>1</w:t>
            </w:r>
          </w:p>
        </w:tc>
        <w:tc>
          <w:tcPr>
            <w:tcW w:w="1812" w:type="dxa"/>
          </w:tcPr>
          <w:p>
            <w:r>
              <w:t>1600</w:t>
            </w:r>
          </w:p>
        </w:tc>
        <w:tc>
          <w:tcPr>
            <w:tcW w:w="1812" w:type="dxa"/>
          </w:tcPr>
          <w:p>
            <w:r>
              <w:t>8</w:t>
            </w:r>
          </w:p>
        </w:tc>
        <w:tc>
          <w:tcPr>
            <w:tcW w:w="1813" w:type="dxa"/>
          </w:tcPr>
          <w:p>
            <w:r>
              <w:t>4800</w:t>
            </w:r>
          </w:p>
        </w:tc>
        <w:tc>
          <w:tcPr>
            <w:tcW w:w="1813" w:type="dxa"/>
          </w:tcPr>
          <w:p>
            <w:r>
              <w:t>24</w:t>
            </w:r>
          </w:p>
        </w:tc>
      </w:tr>
      <w:tr>
        <w:tc>
          <w:tcPr>
            <w:tcW w:w="1812" w:type="dxa"/>
          </w:tcPr>
          <w:p>
            <w:r>
              <w:t>2</w:t>
            </w:r>
          </w:p>
        </w:tc>
        <w:tc>
          <w:tcPr>
            <w:tcW w:w="1812" w:type="dxa"/>
          </w:tcPr>
          <w:p>
            <w:r>
              <w:t>1400</w:t>
            </w:r>
          </w:p>
        </w:tc>
        <w:tc>
          <w:tcPr>
            <w:tcW w:w="1812" w:type="dxa"/>
          </w:tcPr>
          <w:p>
            <w:r>
              <w:t>7</w:t>
            </w:r>
          </w:p>
        </w:tc>
        <w:tc>
          <w:tcPr>
            <w:tcW w:w="1813" w:type="dxa"/>
          </w:tcPr>
          <w:p>
            <w:r>
              <w:t>4200</w:t>
            </w:r>
          </w:p>
        </w:tc>
        <w:tc>
          <w:tcPr>
            <w:tcW w:w="1813" w:type="dxa"/>
          </w:tcPr>
          <w:p>
            <w:r>
              <w:t>21</w:t>
            </w:r>
          </w:p>
        </w:tc>
      </w:tr>
      <w:tr>
        <w:tc>
          <w:tcPr>
            <w:tcW w:w="1812" w:type="dxa"/>
          </w:tcPr>
          <w:p>
            <w:r>
              <w:t>3</w:t>
            </w:r>
          </w:p>
        </w:tc>
        <w:tc>
          <w:tcPr>
            <w:tcW w:w="1812" w:type="dxa"/>
          </w:tcPr>
          <w:p>
            <w:r>
              <w:t>1200</w:t>
            </w:r>
          </w:p>
        </w:tc>
        <w:tc>
          <w:tcPr>
            <w:tcW w:w="1812" w:type="dxa"/>
          </w:tcPr>
          <w:p>
            <w:r>
              <w:t>6</w:t>
            </w:r>
          </w:p>
        </w:tc>
        <w:tc>
          <w:tcPr>
            <w:tcW w:w="1813" w:type="dxa"/>
          </w:tcPr>
          <w:p>
            <w:r>
              <w:t>3600</w:t>
            </w:r>
          </w:p>
        </w:tc>
        <w:tc>
          <w:tcPr>
            <w:tcW w:w="1813" w:type="dxa"/>
          </w:tcPr>
          <w:p>
            <w:r>
              <w:t>18</w:t>
            </w:r>
          </w:p>
        </w:tc>
      </w:tr>
      <w:tr>
        <w:tc>
          <w:tcPr>
            <w:tcW w:w="1812" w:type="dxa"/>
          </w:tcPr>
          <w:p>
            <w:r>
              <w:t>4</w:t>
            </w:r>
          </w:p>
        </w:tc>
        <w:tc>
          <w:tcPr>
            <w:tcW w:w="1812" w:type="dxa"/>
          </w:tcPr>
          <w:p>
            <w:r>
              <w:t>800</w:t>
            </w:r>
          </w:p>
        </w:tc>
        <w:tc>
          <w:tcPr>
            <w:tcW w:w="1812" w:type="dxa"/>
          </w:tcPr>
          <w:p>
            <w:r>
              <w:t>4</w:t>
            </w:r>
          </w:p>
        </w:tc>
        <w:tc>
          <w:tcPr>
            <w:tcW w:w="1813" w:type="dxa"/>
          </w:tcPr>
          <w:p>
            <w:r>
              <w:t>2400</w:t>
            </w:r>
          </w:p>
        </w:tc>
        <w:tc>
          <w:tcPr>
            <w:tcW w:w="1813" w:type="dxa"/>
          </w:tcPr>
          <w:p>
            <w:r>
              <w:t>12</w:t>
            </w:r>
          </w:p>
        </w:tc>
      </w:tr>
      <w:tr>
        <w:tc>
          <w:tcPr>
            <w:tcW w:w="1812" w:type="dxa"/>
          </w:tcPr>
          <w:p>
            <w:r>
              <w:t>5</w:t>
            </w:r>
          </w:p>
        </w:tc>
        <w:tc>
          <w:tcPr>
            <w:tcW w:w="1812" w:type="dxa"/>
          </w:tcPr>
          <w:p>
            <w:r>
              <w:t>600</w:t>
            </w:r>
          </w:p>
        </w:tc>
        <w:tc>
          <w:tcPr>
            <w:tcW w:w="1812" w:type="dxa"/>
          </w:tcPr>
          <w:p>
            <w:r>
              <w:t>3</w:t>
            </w:r>
          </w:p>
        </w:tc>
        <w:tc>
          <w:tcPr>
            <w:tcW w:w="1813" w:type="dxa"/>
          </w:tcPr>
          <w:p>
            <w:r>
              <w:t>1800</w:t>
            </w:r>
          </w:p>
        </w:tc>
        <w:tc>
          <w:tcPr>
            <w:tcW w:w="1813" w:type="dxa"/>
          </w:tcPr>
          <w:p>
            <w:r>
              <w:t>9</w:t>
            </w:r>
          </w:p>
        </w:tc>
      </w:tr>
    </w:tbl>
    <w:p>
      <w:pPr>
        <w:rPr>
          <w:rFonts w:cstheme="minorHAnsi"/>
        </w:rPr>
      </w:pPr>
      <w:r>
        <w:rPr>
          <w:rFonts w:cstheme="minorHAnsi"/>
        </w:rPr>
        <w:t>²</w:t>
      </w:r>
      <w:r>
        <w:t xml:space="preserve"> </w:t>
      </w:r>
      <w:r>
        <w:rPr>
          <w:rFonts w:cstheme="minorHAnsi"/>
        </w:rPr>
        <w:t>Ha a működési idő óra szerinti pontos vezetésére nincs mód, a vizsgálatokat a táblázatban megadott naptári időközönként kell elvégezni.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lastRenderedPageBreak/>
        <w:t>2. számú 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>
        <w:tc>
          <w:tcPr>
            <w:tcW w:w="9062" w:type="dxa"/>
            <w:gridSpan w:val="4"/>
          </w:tcPr>
          <w:p>
            <w:pPr>
              <w:jc w:val="center"/>
            </w:pPr>
            <w:r>
              <w:t>Segédtáblázat az üzemi főcsoportszám meghatározásához</w:t>
            </w:r>
          </w:p>
        </w:tc>
      </w:tr>
      <w:tr>
        <w:tc>
          <w:tcPr>
            <w:tcW w:w="2265" w:type="dxa"/>
          </w:tcPr>
          <w:p>
            <w:pPr>
              <w:jc w:val="center"/>
            </w:pPr>
            <w:r>
              <w:t>Napi általános működési idő (óra)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t>A névlegesnél</w:t>
            </w:r>
          </w:p>
          <w:p>
            <w:pPr>
              <w:jc w:val="center"/>
            </w:pPr>
            <w:r>
              <w:t>lényegesen kisebb</w:t>
            </w:r>
          </w:p>
          <w:p>
            <w:pPr>
              <w:jc w:val="center"/>
            </w:pPr>
            <w:r>
              <w:t>terheléssel és ritkán a</w:t>
            </w:r>
          </w:p>
          <w:p>
            <w:pPr>
              <w:jc w:val="center"/>
            </w:pPr>
            <w:r>
              <w:t>névleges terheléssel</w:t>
            </w:r>
          </w:p>
          <w:p>
            <w:pPr>
              <w:jc w:val="center"/>
            </w:pPr>
            <w:r>
              <w:t>való üzemeltetés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Főleg a névleges vagy</w:t>
            </w:r>
          </w:p>
          <w:p>
            <w:pPr>
              <w:jc w:val="center"/>
            </w:pPr>
            <w:r>
              <w:t>a névlegeshez közeli</w:t>
            </w:r>
          </w:p>
          <w:p>
            <w:pPr>
              <w:jc w:val="center"/>
            </w:pPr>
            <w:r>
              <w:t>terheléssel való</w:t>
            </w:r>
          </w:p>
          <w:p>
            <w:pPr>
              <w:jc w:val="center"/>
            </w:pPr>
            <w:r>
              <w:t>üzemeltetés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Állandóan a névleges</w:t>
            </w:r>
          </w:p>
          <w:p>
            <w:pPr>
              <w:jc w:val="center"/>
            </w:pPr>
            <w:r>
              <w:t>terheléssel való</w:t>
            </w:r>
          </w:p>
          <w:p>
            <w:pPr>
              <w:jc w:val="center"/>
            </w:pPr>
            <w:r>
              <w:t>üzemelés</w:t>
            </w:r>
          </w:p>
        </w:tc>
      </w:tr>
      <w:tr>
        <w:tc>
          <w:tcPr>
            <w:tcW w:w="2265" w:type="dxa"/>
          </w:tcPr>
          <w:p>
            <w:pPr>
              <w:jc w:val="center"/>
            </w:pPr>
            <w:r>
              <w:t>0 – 2-ig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2265" w:type="dxa"/>
          </w:tcPr>
          <w:p>
            <w:pPr>
              <w:jc w:val="center"/>
            </w:pPr>
            <w:r>
              <w:t>2 – 6-ig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w="2265" w:type="dxa"/>
          </w:tcPr>
          <w:p>
            <w:pPr>
              <w:jc w:val="center"/>
            </w:pPr>
            <w:r>
              <w:t>6 – 9-ig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w="2265" w:type="dxa"/>
          </w:tcPr>
          <w:p>
            <w:pPr>
              <w:jc w:val="center"/>
            </w:pPr>
            <w:r>
              <w:t>9 – 12-ig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w="2265" w:type="dxa"/>
          </w:tcPr>
          <w:p>
            <w:pPr>
              <w:jc w:val="center"/>
            </w:pPr>
            <w:r>
              <w:t>12 felett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>
            <w:pPr>
              <w:jc w:val="center"/>
            </w:pPr>
            <w:r>
              <w:t>5</w:t>
            </w:r>
          </w:p>
        </w:tc>
      </w:tr>
    </w:tbl>
    <w:p/>
    <w:p>
      <w:pPr>
        <w:jc w:val="both"/>
      </w:pPr>
      <w:r>
        <w:t>Az üzemi csoportszámot az üzembe helyezéskor meg kell határozni és az üzembe helyezési jegyzőkönyvben, valamint a kísérődokumentációban fel kell tüntetni. Ha a targonca üzemeltetési</w:t>
      </w:r>
      <w:r>
        <w:t xml:space="preserve"> </w:t>
      </w:r>
      <w:r>
        <w:t>körülményei változnak, felül kell vizsgálni és szükség szerint módosítani kell az üzemi</w:t>
      </w:r>
      <w:r>
        <w:t xml:space="preserve"> </w:t>
      </w:r>
      <w:r>
        <w:t>csoportszámot.</w:t>
      </w:r>
    </w:p>
    <w:p>
      <w:pPr>
        <w:jc w:val="both"/>
        <w:rPr>
          <w:i/>
          <w:u w:val="single"/>
        </w:rPr>
      </w:pPr>
      <w:r>
        <w:rPr>
          <w:i/>
          <w:u w:val="single"/>
        </w:rPr>
        <w:t>G</w:t>
      </w:r>
      <w:r>
        <w:rPr>
          <w:i/>
          <w:u w:val="single"/>
        </w:rPr>
        <w:t>épek, ber</w:t>
      </w:r>
      <w:r>
        <w:rPr>
          <w:i/>
          <w:u w:val="single"/>
        </w:rPr>
        <w:t>endezések felülvizsgálatai</w:t>
      </w:r>
      <w:r>
        <w:rPr>
          <w:i/>
          <w:u w:val="single"/>
        </w:rPr>
        <w:t>:</w:t>
      </w:r>
    </w:p>
    <w:p>
      <w:pPr>
        <w:pStyle w:val="Listaszerbekezds"/>
        <w:numPr>
          <w:ilvl w:val="0"/>
          <w:numId w:val="4"/>
        </w:numPr>
        <w:jc w:val="both"/>
      </w:pPr>
      <w:r>
        <w:t>Veszélyesnek nem minősülő munkaeszköz esetében - ha annak biztonsága függhet a szerelés körülményeitől - a szerelést követően, de még a használatba vétel előtt és minden egyes új telephelyre vagy munkahelyre történő mozgatás után a megbízott személy ellenőrző felülvizsgálat keretében meggyőződik a biztonságos szerelésről, az egészséget nem veszélyeztető és biztonságos működés feltételeiről és körülményeiről.</w:t>
      </w:r>
    </w:p>
    <w:p>
      <w:pPr>
        <w:pStyle w:val="Listaszerbekezds"/>
        <w:jc w:val="both"/>
      </w:pPr>
    </w:p>
    <w:p>
      <w:pPr>
        <w:pStyle w:val="Listaszerbekezds"/>
        <w:numPr>
          <w:ilvl w:val="0"/>
          <w:numId w:val="4"/>
        </w:numPr>
        <w:jc w:val="both"/>
      </w:pPr>
      <w:r>
        <w:t xml:space="preserve">Az időszakos ellenőrző felülvizsgálatra kötelezett munkaeszközt, a felülvizsgálat gyakoriságát és módját írásban kell meghatározni, figyelemmel az üzemeltetés körülményeire, a munkaeszközt érintő szabványokban foglaltakra és a gyártó által összeállított használati utasítás, üzemeltetési, karbantartási dokumentáció előírásaira. A leghosszabb felülvizsgálati időszak nem haladhatja meg az </w:t>
      </w:r>
      <w:r>
        <w:rPr>
          <w:b/>
        </w:rPr>
        <w:t>öt évet</w:t>
      </w:r>
      <w:r>
        <w:t>.</w:t>
      </w:r>
    </w:p>
    <w:p>
      <w:pPr>
        <w:pStyle w:val="Listaszerbekezds"/>
        <w:jc w:val="both"/>
      </w:pPr>
    </w:p>
    <w:p>
      <w:pPr>
        <w:pStyle w:val="Listaszerbekezds"/>
        <w:numPr>
          <w:ilvl w:val="0"/>
          <w:numId w:val="4"/>
        </w:numPr>
        <w:jc w:val="both"/>
      </w:pPr>
      <w:r>
        <w:t>Szabványossági felülvizsgálat elvégzése szükséges</w:t>
      </w:r>
      <w:r>
        <w:t>:</w:t>
      </w:r>
    </w:p>
    <w:p>
      <w:pPr>
        <w:pStyle w:val="Listaszerbekezds"/>
        <w:numPr>
          <w:ilvl w:val="0"/>
          <w:numId w:val="5"/>
        </w:numPr>
        <w:jc w:val="both"/>
      </w:pPr>
      <w:r>
        <w:t>új villamos berendezés létesítésekor az üzemszerű használatbavétel előtt</w:t>
      </w:r>
    </w:p>
    <w:p>
      <w:pPr>
        <w:pStyle w:val="Listaszerbekezds"/>
        <w:numPr>
          <w:ilvl w:val="0"/>
          <w:numId w:val="5"/>
        </w:numPr>
        <w:jc w:val="both"/>
      </w:pPr>
      <w:r>
        <w:t>a villamos berendezés bővítése, átalakítása és javítása alkalmával, a szerelői ellenőrzés elvégzése után</w:t>
      </w:r>
    </w:p>
    <w:p>
      <w:pPr>
        <w:pStyle w:val="Listaszerbekezds"/>
        <w:numPr>
          <w:ilvl w:val="0"/>
          <w:numId w:val="5"/>
        </w:numPr>
        <w:jc w:val="both"/>
      </w:pPr>
      <w:r>
        <w:t>az érintésvédelem hibájára vagy hiányosságára visszavezethető, minden olyan rendellenesség észlelése esetén, amelynél a rendellenességi ok meghatározása, a javításhoz szükséges hiba behatárolása szerelői ellenőrzéssel nem volt elvégezhető</w:t>
      </w:r>
    </w:p>
    <w:p>
      <w:pPr>
        <w:pStyle w:val="Listaszerbekezds"/>
        <w:numPr>
          <w:ilvl w:val="0"/>
          <w:numId w:val="5"/>
        </w:numPr>
        <w:jc w:val="both"/>
      </w:pPr>
      <w:r>
        <w:t xml:space="preserve">vagy </w:t>
      </w:r>
      <w:r>
        <w:t>jogszabályban meghatározott gyakoriságú időszakos ellenőrző felülvizsgálat esetén</w:t>
      </w:r>
    </w:p>
    <w:p>
      <w:pPr>
        <w:pStyle w:val="Listaszerbekezds"/>
        <w:jc w:val="both"/>
      </w:pPr>
    </w:p>
    <w:p>
      <w:pPr>
        <w:pStyle w:val="Listaszerbekezds"/>
        <w:numPr>
          <w:ilvl w:val="0"/>
          <w:numId w:val="4"/>
        </w:numPr>
        <w:jc w:val="both"/>
      </w:pPr>
      <w:r>
        <w:t>Az időszakos ellenőrző felülvizsgálatot szerelői ellenőrzéssel legalább a következő gyakorisággal kell elvégezni</w:t>
      </w:r>
      <w:r>
        <w:t>:</w:t>
      </w:r>
    </w:p>
    <w:p>
      <w:pPr>
        <w:pStyle w:val="Listaszerbekezds"/>
        <w:numPr>
          <w:ilvl w:val="0"/>
          <w:numId w:val="7"/>
        </w:numPr>
        <w:jc w:val="both"/>
      </w:pPr>
      <w:r>
        <w:t xml:space="preserve">kéziszerszámokon és hordozható biztonsági transzformátorokon </w:t>
      </w:r>
      <w:r>
        <w:rPr>
          <w:b/>
        </w:rPr>
        <w:t>évente</w:t>
      </w:r>
      <w:r>
        <w:rPr>
          <w:b/>
        </w:rPr>
        <w:t>.</w:t>
      </w:r>
    </w:p>
    <w:p>
      <w:pPr>
        <w:pStyle w:val="Listaszerbekezds"/>
        <w:numPr>
          <w:ilvl w:val="0"/>
          <w:numId w:val="7"/>
        </w:numPr>
        <w:jc w:val="both"/>
      </w:pPr>
      <w:r>
        <w:lastRenderedPageBreak/>
        <w:t xml:space="preserve">azon villamos berendezésrészen, amelyre a fentiek szerint nincs külön gyakoriság előírva, az érintésvédelmi szabványossági felülvizsgálat alkalmával, annak bevezető részeként </w:t>
      </w:r>
      <w:r>
        <w:rPr>
          <w:b/>
        </w:rPr>
        <w:t>háromévente</w:t>
      </w:r>
      <w:r>
        <w:rPr>
          <w:b/>
        </w:rPr>
        <w:t>.</w:t>
      </w:r>
    </w:p>
    <w:p>
      <w:pPr>
        <w:jc w:val="both"/>
      </w:pPr>
      <w:r>
        <w:t>Ezen vezetői</w:t>
      </w:r>
      <w:r>
        <w:t xml:space="preserve"> utasítás 2019. </w:t>
      </w:r>
      <w:r>
        <w:t>…………………</w:t>
      </w:r>
      <w:r>
        <w:t xml:space="preserve"> lép hatályba és visszavonásig, illetőleg a jogszabály előírásokat érintő módosulásáig érvényes.</w:t>
      </w:r>
    </w:p>
    <w:p>
      <w:pPr>
        <w:jc w:val="both"/>
      </w:pPr>
    </w:p>
    <w:p>
      <w:pPr>
        <w:jc w:val="both"/>
      </w:pPr>
      <w:r>
        <w:t>Kelt,………………..</w:t>
      </w:r>
    </w:p>
    <w:p>
      <w:pPr>
        <w:jc w:val="both"/>
      </w:pPr>
    </w:p>
    <w:p>
      <w:pPr>
        <w:jc w:val="both"/>
      </w:pPr>
    </w:p>
    <w:p>
      <w:pPr>
        <w:ind w:left="4111"/>
        <w:jc w:val="both"/>
      </w:pPr>
      <w:r>
        <w:t>_____________________________________________</w:t>
      </w:r>
    </w:p>
    <w:p>
      <w:pPr>
        <w:ind w:left="4253"/>
        <w:jc w:val="both"/>
      </w:pPr>
      <w:r>
        <w:t xml:space="preserve">                                       </w:t>
      </w:r>
    </w:p>
    <w:p>
      <w:pPr>
        <w:ind w:left="4956" w:firstLine="708"/>
        <w:jc w:val="both"/>
      </w:pPr>
      <w:r>
        <w:t>…………………….</w:t>
      </w:r>
      <w:r>
        <w:t>Kft.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r>
        <w:br w:type="page"/>
      </w:r>
    </w:p>
    <w:p>
      <w:pPr>
        <w:jc w:val="both"/>
        <w:rPr>
          <w:b/>
          <w:i/>
        </w:rPr>
      </w:pPr>
      <w:r>
        <w:rPr>
          <w:b/>
          <w:i/>
        </w:rPr>
        <w:lastRenderedPageBreak/>
        <w:t>1. számú melléklet</w:t>
      </w:r>
    </w:p>
    <w:p>
      <w:pPr>
        <w:jc w:val="both"/>
      </w:pPr>
      <w:r>
        <w:t>Nyilvántartás a gépek, berendezések felülvizsgálatainak időpontjairól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9"/>
        <w:gridCol w:w="2432"/>
        <w:gridCol w:w="2835"/>
        <w:gridCol w:w="2830"/>
      </w:tblGrid>
      <w:tr>
        <w:tc>
          <w:tcPr>
            <w:tcW w:w="1049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Sorszám</w:t>
            </w: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Gép, berendezés megnevezése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gyártó megnevezése és gyártási szám</w:t>
            </w:r>
          </w:p>
        </w:tc>
        <w:tc>
          <w:tcPr>
            <w:tcW w:w="283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Felülvizsgálat tervezett dátuma</w:t>
            </w:r>
          </w:p>
        </w:tc>
      </w:tr>
      <w:tr>
        <w:trPr>
          <w:trHeight w:val="1129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19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2.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3.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1003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4.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5.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89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6.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7.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8.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9.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10.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11.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  <w:p>
            <w:pPr>
              <w:jc w:val="center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12.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13.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14.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15.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16.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17.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18.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19.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  <w:tr>
        <w:trPr>
          <w:trHeight w:val="975"/>
        </w:trPr>
        <w:tc>
          <w:tcPr>
            <w:tcW w:w="104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20.</w:t>
            </w:r>
          </w:p>
        </w:tc>
        <w:tc>
          <w:tcPr>
            <w:tcW w:w="2432" w:type="dxa"/>
          </w:tcPr>
          <w:p>
            <w:pPr>
              <w:jc w:val="both"/>
            </w:pPr>
          </w:p>
        </w:tc>
        <w:tc>
          <w:tcPr>
            <w:tcW w:w="2835" w:type="dxa"/>
          </w:tcPr>
          <w:p>
            <w:pPr>
              <w:jc w:val="both"/>
            </w:pPr>
          </w:p>
        </w:tc>
        <w:tc>
          <w:tcPr>
            <w:tcW w:w="2830" w:type="dxa"/>
          </w:tcPr>
          <w:p>
            <w:pPr>
              <w:jc w:val="both"/>
            </w:pPr>
          </w:p>
        </w:tc>
      </w:tr>
    </w:tbl>
    <w:p>
      <w:pPr>
        <w:jc w:val="both"/>
      </w:pPr>
    </w:p>
    <w:sectPr>
      <w:headerReference w:type="default" r:id="rId8"/>
      <w:footerReference w:type="default" r:id="rId9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2A" w:rsidRDefault="00230D2A" w:rsidP="00CE399C">
      <w:pPr>
        <w:spacing w:after="0" w:line="240" w:lineRule="auto"/>
      </w:pPr>
      <w:r>
        <w:separator/>
      </w:r>
    </w:p>
  </w:endnote>
  <w:endnote w:type="continuationSeparator" w:id="0">
    <w:p w:rsidR="00230D2A" w:rsidRDefault="00230D2A" w:rsidP="00CE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090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C01C7" w:rsidRDefault="00DC01C7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6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6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1C7" w:rsidRDefault="00DC01C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2A" w:rsidRDefault="00230D2A" w:rsidP="00CE399C">
      <w:pPr>
        <w:spacing w:after="0" w:line="240" w:lineRule="auto"/>
      </w:pPr>
      <w:r>
        <w:separator/>
      </w:r>
    </w:p>
  </w:footnote>
  <w:footnote w:type="continuationSeparator" w:id="0">
    <w:p w:rsidR="00230D2A" w:rsidRDefault="00230D2A" w:rsidP="00CE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9C" w:rsidRPr="00CE399C" w:rsidRDefault="00D726A3" w:rsidP="00CE399C">
    <w:pPr>
      <w:pStyle w:val="lfej"/>
    </w:pPr>
    <w:r>
      <w:t>Cégnév</w:t>
    </w:r>
  </w:p>
  <w:p w:rsidR="00CE399C" w:rsidRPr="00CE399C" w:rsidRDefault="00D726A3" w:rsidP="00CE399C">
    <w:pPr>
      <w:pStyle w:val="lfej"/>
    </w:pPr>
    <w:r>
      <w:t xml:space="preserve">Székhely: </w:t>
    </w:r>
    <w:r w:rsidR="00CE399C" w:rsidRPr="00CE399C">
      <w:t xml:space="preserve">                              </w:t>
    </w:r>
  </w:p>
  <w:p w:rsidR="00CE399C" w:rsidRDefault="00D726A3">
    <w:pPr>
      <w:pStyle w:val="lfej"/>
    </w:pPr>
    <w:r>
      <w:t xml:space="preserve">Telephely: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601"/>
    <w:multiLevelType w:val="hybridMultilevel"/>
    <w:tmpl w:val="F1502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30C5"/>
    <w:multiLevelType w:val="hybridMultilevel"/>
    <w:tmpl w:val="CDA82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F83"/>
    <w:multiLevelType w:val="hybridMultilevel"/>
    <w:tmpl w:val="F800A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B287C"/>
    <w:multiLevelType w:val="hybridMultilevel"/>
    <w:tmpl w:val="9E7C9A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D02A3"/>
    <w:multiLevelType w:val="hybridMultilevel"/>
    <w:tmpl w:val="7076B8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C2217"/>
    <w:multiLevelType w:val="hybridMultilevel"/>
    <w:tmpl w:val="EF5EB0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0A248B"/>
    <w:multiLevelType w:val="hybridMultilevel"/>
    <w:tmpl w:val="2208E0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9C"/>
    <w:rsid w:val="00230D2A"/>
    <w:rsid w:val="00257D23"/>
    <w:rsid w:val="003E461A"/>
    <w:rsid w:val="00441988"/>
    <w:rsid w:val="00455357"/>
    <w:rsid w:val="0058168B"/>
    <w:rsid w:val="00651E0D"/>
    <w:rsid w:val="0082455B"/>
    <w:rsid w:val="008934D1"/>
    <w:rsid w:val="008E137C"/>
    <w:rsid w:val="009B1591"/>
    <w:rsid w:val="00AF2E67"/>
    <w:rsid w:val="00B1069F"/>
    <w:rsid w:val="00C45B23"/>
    <w:rsid w:val="00CE399C"/>
    <w:rsid w:val="00D726A3"/>
    <w:rsid w:val="00DC01C7"/>
    <w:rsid w:val="00E678FB"/>
    <w:rsid w:val="00F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399C"/>
  </w:style>
  <w:style w:type="paragraph" w:styleId="llb">
    <w:name w:val="footer"/>
    <w:basedOn w:val="Norml"/>
    <w:link w:val="llbChar"/>
    <w:uiPriority w:val="99"/>
    <w:unhideWhenUsed/>
    <w:rsid w:val="00C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399C"/>
  </w:style>
  <w:style w:type="paragraph" w:styleId="Listaszerbekezds">
    <w:name w:val="List Paragraph"/>
    <w:basedOn w:val="Norml"/>
    <w:uiPriority w:val="34"/>
    <w:qFormat/>
    <w:rsid w:val="0058168B"/>
    <w:pPr>
      <w:ind w:left="720"/>
      <w:contextualSpacing/>
    </w:pPr>
  </w:style>
  <w:style w:type="table" w:styleId="Rcsostblzat">
    <w:name w:val="Table Grid"/>
    <w:basedOn w:val="Normltblzat"/>
    <w:uiPriority w:val="39"/>
    <w:rsid w:val="009B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399C"/>
  </w:style>
  <w:style w:type="paragraph" w:styleId="llb">
    <w:name w:val="footer"/>
    <w:basedOn w:val="Norml"/>
    <w:link w:val="llbChar"/>
    <w:uiPriority w:val="99"/>
    <w:unhideWhenUsed/>
    <w:rsid w:val="00C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399C"/>
  </w:style>
  <w:style w:type="paragraph" w:styleId="Listaszerbekezds">
    <w:name w:val="List Paragraph"/>
    <w:basedOn w:val="Norml"/>
    <w:uiPriority w:val="34"/>
    <w:qFormat/>
    <w:rsid w:val="0058168B"/>
    <w:pPr>
      <w:ind w:left="720"/>
      <w:contextualSpacing/>
    </w:pPr>
  </w:style>
  <w:style w:type="table" w:styleId="Rcsostblzat">
    <w:name w:val="Table Grid"/>
    <w:basedOn w:val="Normltblzat"/>
    <w:uiPriority w:val="39"/>
    <w:rsid w:val="009B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641</Words>
  <Characters>4426</Characters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5057</CharactersWithSpaces>
  <SharedDoc>false</SharedDoc>
  <HyperlinksChanged>false</HyperlinksChanged>
</Properties>
</file>